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F" w:rsidRPr="0031306F" w:rsidRDefault="00C0559F" w:rsidP="00C0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06F">
        <w:rPr>
          <w:rFonts w:ascii="Times New Roman" w:hAnsi="Times New Roman" w:cs="Times New Roman"/>
          <w:b/>
          <w:sz w:val="24"/>
          <w:szCs w:val="24"/>
        </w:rPr>
        <w:t>Proposed Changes to the Federal Rules for Consideration</w:t>
      </w:r>
    </w:p>
    <w:tbl>
      <w:tblPr>
        <w:tblStyle w:val="TableGrid"/>
        <w:tblW w:w="13248" w:type="dxa"/>
        <w:tblLook w:val="04A0"/>
      </w:tblPr>
      <w:tblGrid>
        <w:gridCol w:w="1998"/>
        <w:gridCol w:w="7740"/>
        <w:gridCol w:w="3510"/>
      </w:tblGrid>
      <w:tr w:rsidR="00C0559F" w:rsidRPr="0031306F" w:rsidTr="00C0559F">
        <w:tc>
          <w:tcPr>
            <w:tcW w:w="1998" w:type="dxa"/>
          </w:tcPr>
          <w:p w:rsidR="00C0559F" w:rsidRPr="0031306F" w:rsidRDefault="00C0559F" w:rsidP="00C05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</w:t>
            </w:r>
          </w:p>
        </w:tc>
        <w:tc>
          <w:tcPr>
            <w:tcW w:w="7740" w:type="dxa"/>
          </w:tcPr>
          <w:p w:rsidR="00C0559F" w:rsidRPr="0031306F" w:rsidRDefault="00C0559F" w:rsidP="00C05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3510" w:type="dxa"/>
          </w:tcPr>
          <w:p w:rsidR="00C0559F" w:rsidRPr="0031306F" w:rsidRDefault="00C0559F" w:rsidP="00C05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FD5B2D" w:rsidRPr="0031306F" w:rsidTr="00C0559F">
        <w:tc>
          <w:tcPr>
            <w:tcW w:w="1998" w:type="dxa"/>
          </w:tcPr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 26(b):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Proportionality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and Scope of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</w:p>
        </w:tc>
        <w:tc>
          <w:tcPr>
            <w:tcW w:w="7740" w:type="dxa"/>
          </w:tcPr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 Discovery Scope and Limits.</w:t>
            </w:r>
          </w:p>
          <w:p w:rsidR="00FD5B2D" w:rsidRDefault="00FD5B2D" w:rsidP="00630F2B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(1) </w:t>
            </w:r>
            <w:r w:rsidRPr="0031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Scope in General.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Unless otherwise limited by court order,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the scope of discovery is as follows: Parties may obtain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discovery regarding any </w:t>
            </w:r>
            <w:proofErr w:type="spellStart"/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nonprivileged</w:t>
            </w:r>
            <w:proofErr w:type="spellEnd"/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matter that is relevant to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any party’s claim or defense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 proportional to the needs of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case considering the amount in controversy, the importance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 the issues at stake in the action, the parties’ resources, the</w:t>
            </w:r>
            <w:r w:rsidR="00E16FB4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importance of the discovery in resolving the issues, and whether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burden or expense of the proposed discovery outweighs its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likely benefit. 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2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Information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within this scope of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12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discovery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need not be admissible in evidence to be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6FB4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discoverable</w:t>
            </w:r>
            <w:r w:rsidR="00D67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including the existence, description, nature,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custody, condition, and location of any documents or other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tangible things and the identity and location of persons who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know of any discoverable matter. 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For good cause, the court may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order discovery of any matter relevant to the subject matter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involved in the action. R</w:t>
            </w:r>
            <w:r w:rsidR="00E16FB4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elevant information need not be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admissible at the trial if the discovery appears reasonably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calculated to lead to the discovery of admissible evidence. 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All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discovery is subject to the limitations imposed by Rule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26(b</w:t>
            </w:r>
            <w:proofErr w:type="gramStart"/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)(</w:t>
            </w:r>
            <w:proofErr w:type="gramEnd"/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2)(C).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* * *</w:t>
            </w:r>
          </w:p>
          <w:p w:rsidR="0034120E" w:rsidRPr="0031306F" w:rsidRDefault="0034120E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(2) </w:t>
            </w:r>
            <w:r w:rsidRPr="0031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Limitations on Frequency and Extent.</w:t>
            </w:r>
          </w:p>
          <w:p w:rsidR="00FD5B2D" w:rsidRPr="0031306F" w:rsidRDefault="00FD5B2D" w:rsidP="00630F2B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(A) </w:t>
            </w:r>
            <w:r w:rsidRPr="008C0A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When </w:t>
            </w:r>
            <w:proofErr w:type="gramStart"/>
            <w:r w:rsidRPr="008C0A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Permitted.</w:t>
            </w:r>
            <w:proofErr w:type="gramEnd"/>
            <w:r w:rsidRPr="00313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By order, th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e court may alter the limits in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these rules on the number of depositions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and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FB">
              <w:rPr>
                <w:rFonts w:ascii="Times New Roman" w:hAnsi="Times New Roman" w:cs="Times New Roman"/>
                <w:sz w:val="24"/>
                <w:szCs w:val="24"/>
              </w:rPr>
              <w:t>interrogatories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and requests for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admissions,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or on the length of depositions under Rule 30.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By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order or local rule, the cou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rt may also limit the number of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requests under Rule 36.</w:t>
            </w:r>
          </w:p>
          <w:p w:rsidR="00FD5B2D" w:rsidRPr="0031306F" w:rsidRDefault="00FD5B2D" w:rsidP="00630F2B">
            <w:p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(C) </w:t>
            </w:r>
            <w:r w:rsidRPr="008C0A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When Required.</w:t>
            </w:r>
            <w:r w:rsidRPr="00313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On motion or on its own, the court must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limit the frequency or extent of discovery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otherwise allowed by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these rules or by local rule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if it determines that: * * *</w:t>
            </w:r>
          </w:p>
          <w:p w:rsidR="00FD5B2D" w:rsidRPr="0031306F" w:rsidRDefault="00FD5B2D" w:rsidP="00630F2B">
            <w:pPr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(iii) </w:t>
            </w:r>
            <w:proofErr w:type="gramStart"/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burden or expense of the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proposed discovery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</w:t>
            </w:r>
            <w:r w:rsidR="0034120E"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30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outside the scope permitted by Rule 26(b)(1)</w:t>
            </w:r>
            <w:r w:rsidR="00D67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outweighs</w:t>
            </w:r>
            <w:proofErr w:type="gramEnd"/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its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likely benefit, considering the needs of the case, the amount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in controversy, the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parties’ resources, the importance of the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issues at stake in the action, and the importance of the</w:t>
            </w:r>
            <w:r w:rsidR="0034120E"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630F2B">
              <w:rPr>
                <w:rFonts w:ascii="Times New Roman" w:hAnsi="Times New Roman" w:cs="Times New Roman"/>
                <w:strike/>
                <w:sz w:val="24"/>
                <w:szCs w:val="24"/>
              </w:rPr>
              <w:t>discovery in resolving the issues</w:t>
            </w:r>
            <w:r w:rsidRPr="00D67A90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D5B2D" w:rsidRPr="0031306F" w:rsidRDefault="0031306F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This Rule </w:t>
            </w:r>
            <w:r w:rsidR="00FD5B2D" w:rsidRPr="0031306F">
              <w:rPr>
                <w:rFonts w:ascii="Times New Roman" w:hAnsi="Times New Roman" w:cs="Times New Roman"/>
                <w:sz w:val="24"/>
                <w:szCs w:val="24"/>
              </w:rPr>
              <w:t>change is meant to explicitly define proportionality in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2D" w:rsidRPr="0031306F">
              <w:rPr>
                <w:rFonts w:ascii="Times New Roman" w:hAnsi="Times New Roman" w:cs="Times New Roman"/>
                <w:sz w:val="24"/>
                <w:szCs w:val="24"/>
              </w:rPr>
              <w:t>the rules. When deciding whether proportionality is adequate, the court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B2D" w:rsidRPr="0031306F">
              <w:rPr>
                <w:rFonts w:ascii="Times New Roman" w:hAnsi="Times New Roman" w:cs="Times New Roman"/>
                <w:sz w:val="24"/>
                <w:szCs w:val="24"/>
              </w:rPr>
              <w:t>would consider five factors: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(1) Amount in controversy;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(2) Importance of the issue at stake in the action;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(3) The parties’ resources;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(4) Importance of discovery to resolve the issue; and</w:t>
            </w:r>
          </w:p>
          <w:p w:rsidR="00FD5B2D" w:rsidRPr="0031306F" w:rsidRDefault="00FD5B2D" w:rsidP="00FD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(5) Expense versus benefit analysis.</w:t>
            </w:r>
          </w:p>
        </w:tc>
      </w:tr>
      <w:tr w:rsidR="00C0559F" w:rsidRPr="0031306F" w:rsidTr="00C0559F">
        <w:tc>
          <w:tcPr>
            <w:tcW w:w="1998" w:type="dxa"/>
          </w:tcPr>
          <w:p w:rsidR="00C0559F" w:rsidRPr="0031306F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Rule 30:</w:t>
            </w:r>
          </w:p>
          <w:p w:rsidR="00C0559F" w:rsidRPr="0031306F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Oral Depositions</w:t>
            </w:r>
          </w:p>
          <w:p w:rsidR="00C0559F" w:rsidRPr="0031306F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B4425A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 When a Deposition May Be Taken.</w:t>
            </w: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 * *</w:t>
            </w:r>
          </w:p>
          <w:p w:rsidR="00B4425A" w:rsidRDefault="00B4425A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0559F" w:rsidRPr="00B4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="00C0559F"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 Leave</w:t>
            </w:r>
            <w:r w:rsidR="00C0559F"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A party must obtain leave of court, and the court must </w:t>
            </w:r>
          </w:p>
          <w:p w:rsidR="00C0559F" w:rsidRPr="00B4425A" w:rsidRDefault="00B4425A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grant leave to the extent consistent with Rule</w:t>
            </w:r>
            <w:r w:rsidR="00EC6A1A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26(b)</w:t>
            </w:r>
            <w:r w:rsidR="00C0559F" w:rsidRPr="00106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06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and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559F" w:rsidRPr="001065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559F" w:rsidRPr="0031306F" w:rsidRDefault="00B4425A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C0559F" w:rsidRPr="00B4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="00C0559F"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if the parties have not stipulated to the deposition and:</w:t>
            </w:r>
          </w:p>
          <w:p w:rsidR="00B4425A" w:rsidRDefault="00B4425A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C6A1A"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0559F" w:rsidRPr="00B4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0559F" w:rsidRPr="00B4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C0559F" w:rsidRPr="00B4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the deposition would result in more than </w:t>
            </w:r>
            <w:r w:rsidR="00C0559F" w:rsidRPr="0031306F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412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depositions being </w:t>
            </w:r>
          </w:p>
          <w:p w:rsidR="00B4425A" w:rsidRDefault="00B4425A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taken under this rule or Rule 31 by the</w:t>
            </w:r>
            <w:r w:rsidR="00EC6A1A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plaintiffs, or by the </w:t>
            </w:r>
          </w:p>
          <w:p w:rsidR="00C0559F" w:rsidRPr="0031306F" w:rsidRDefault="00B4425A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defendants, or by the third-p</w:t>
            </w:r>
            <w:r w:rsidR="0034120E">
              <w:rPr>
                <w:rFonts w:ascii="Times New Roman" w:hAnsi="Times New Roman" w:cs="Times New Roman"/>
                <w:sz w:val="24"/>
                <w:szCs w:val="24"/>
              </w:rPr>
              <w:t>arty</w:t>
            </w:r>
            <w:r w:rsidR="00AD15E0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9F" w:rsidRPr="0031306F">
              <w:rPr>
                <w:rFonts w:ascii="Times New Roman" w:hAnsi="Times New Roman" w:cs="Times New Roman"/>
                <w:sz w:val="24"/>
                <w:szCs w:val="24"/>
              </w:rPr>
              <w:t>defendants;</w:t>
            </w:r>
          </w:p>
          <w:p w:rsidR="00B4425A" w:rsidRPr="00B4425A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C0559F" w:rsidRPr="0031306F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 Duration; Sanction; Motion to Terminate or Limit.</w:t>
            </w:r>
          </w:p>
          <w:p w:rsidR="00B4425A" w:rsidRPr="001065FB" w:rsidRDefault="00C0559F" w:rsidP="0034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(1) </w:t>
            </w:r>
            <w:r w:rsidRPr="003130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Duration</w:t>
            </w: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Unless otherwise stipulated </w:t>
            </w:r>
            <w:r w:rsidRPr="001065FB">
              <w:rPr>
                <w:rFonts w:ascii="Times New Roman" w:hAnsi="Times New Roman" w:cs="Times New Roman"/>
                <w:sz w:val="24"/>
                <w:szCs w:val="24"/>
              </w:rPr>
              <w:t>or ordered by the</w:t>
            </w:r>
            <w:r w:rsidR="0034120E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court, a </w:t>
            </w:r>
          </w:p>
          <w:p w:rsidR="00D266BB" w:rsidRDefault="00B4425A" w:rsidP="0034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C0559F" w:rsidRPr="001065FB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  <w:proofErr w:type="gramEnd"/>
            <w:r w:rsidR="00C0559F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is limited to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one day of </w:t>
            </w:r>
            <w:r w:rsidR="00C0559F" w:rsidRPr="001065F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7</w:t>
            </w:r>
            <w:r w:rsidR="00C0559F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hours. The court must allow </w:t>
            </w:r>
          </w:p>
          <w:p w:rsidR="00D266BB" w:rsidRDefault="00D266BB" w:rsidP="0034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>additional time consistent with Rule 26(b)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(1) and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(2) if needed to fairly </w:t>
            </w:r>
          </w:p>
          <w:p w:rsidR="00D266BB" w:rsidRDefault="00D266BB" w:rsidP="0034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examine the deponent or if the deponent, another person, or any other </w:t>
            </w:r>
          </w:p>
          <w:p w:rsidR="00C0559F" w:rsidRPr="0031306F" w:rsidRDefault="00D266BB" w:rsidP="00341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>circumstance</w:t>
            </w:r>
            <w:proofErr w:type="gramEnd"/>
            <w:r w:rsidR="001065FB" w:rsidRPr="001065FB">
              <w:rPr>
                <w:rFonts w:ascii="Times New Roman" w:hAnsi="Times New Roman" w:cs="Times New Roman"/>
                <w:sz w:val="24"/>
                <w:szCs w:val="24"/>
              </w:rPr>
              <w:t xml:space="preserve"> impedes or delays the examination.</w:t>
            </w:r>
          </w:p>
        </w:tc>
        <w:tc>
          <w:tcPr>
            <w:tcW w:w="3510" w:type="dxa"/>
          </w:tcPr>
          <w:p w:rsidR="00C0559F" w:rsidRPr="0031306F" w:rsidRDefault="004C7D94" w:rsidP="00D45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Rule change reduces the presumptive number of depositions from 10 to 5 and </w:t>
            </w:r>
            <w:r w:rsidR="00D45E37">
              <w:rPr>
                <w:rFonts w:ascii="Times New Roman" w:hAnsi="Times New Roman" w:cs="Times New Roman"/>
                <w:bCs/>
                <w:sz w:val="24"/>
                <w:szCs w:val="24"/>
              </w:rPr>
              <w:t>shortens</w:t>
            </w: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="002013E6"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>presumptive deposition length</w:t>
            </w: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7 hours to </w:t>
            </w:r>
            <w:r w:rsidR="00C347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hours.</w:t>
            </w:r>
          </w:p>
        </w:tc>
      </w:tr>
      <w:tr w:rsidR="00C0559F" w:rsidRPr="0031306F" w:rsidTr="00C0559F">
        <w:tc>
          <w:tcPr>
            <w:tcW w:w="1998" w:type="dxa"/>
          </w:tcPr>
          <w:p w:rsidR="00C0559F" w:rsidRPr="0031306F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 31:</w:t>
            </w:r>
          </w:p>
          <w:p w:rsidR="00B37F86" w:rsidRPr="0031306F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bCs/>
                <w:sz w:val="24"/>
                <w:szCs w:val="24"/>
              </w:rPr>
              <w:t>Written Depositions</w:t>
            </w:r>
          </w:p>
        </w:tc>
        <w:tc>
          <w:tcPr>
            <w:tcW w:w="7740" w:type="dxa"/>
          </w:tcPr>
          <w:p w:rsidR="00126C66" w:rsidRDefault="00B37F8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>(a) When a Deposition May Be Taken.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* * *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37F86"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(2) </w:t>
            </w:r>
            <w:r w:rsidR="00B37F86" w:rsidRPr="00B442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With Leave</w:t>
            </w:r>
            <w:r w:rsidR="00B37F86"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A party must obtain leave of court, and the court must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>grant leave to the extent consistent with Rule 26(b)</w:t>
            </w:r>
            <w:r w:rsidR="00C347C3" w:rsidRPr="00C34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(1) and</w:t>
            </w:r>
            <w:r w:rsidR="00C3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(2):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37F86"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if the parties have not stipulated to the deposition and: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F86"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37F86"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B37F86" w:rsidRPr="00B4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the deposition would result in more than </w:t>
            </w:r>
            <w:r w:rsidR="00B37F86" w:rsidRPr="00A30E7B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86" w:rsidRPr="00A30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depositions being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taken under this rule or Rule 30 by the plaintiffs, or by the </w:t>
            </w:r>
          </w:p>
          <w:p w:rsidR="00C0559F" w:rsidRPr="0031306F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>defendants, or by the third-party defendants; * * *</w:t>
            </w:r>
          </w:p>
        </w:tc>
        <w:tc>
          <w:tcPr>
            <w:tcW w:w="3510" w:type="dxa"/>
          </w:tcPr>
          <w:p w:rsidR="00C0559F" w:rsidRPr="0031306F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This Rule change reduces the presumptive number of written depositions from 10 to 5.</w:t>
            </w:r>
          </w:p>
        </w:tc>
      </w:tr>
      <w:tr w:rsidR="00C0559F" w:rsidRPr="0031306F" w:rsidTr="00C0559F">
        <w:tc>
          <w:tcPr>
            <w:tcW w:w="1998" w:type="dxa"/>
          </w:tcPr>
          <w:p w:rsidR="00C0559F" w:rsidRPr="0031306F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0E">
              <w:rPr>
                <w:rFonts w:ascii="Times New Roman" w:hAnsi="Times New Roman" w:cs="Times New Roman"/>
                <w:b/>
                <w:sz w:val="24"/>
                <w:szCs w:val="24"/>
              </w:rPr>
              <w:t>Rule 33: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Interrogatories</w:t>
            </w:r>
          </w:p>
        </w:tc>
        <w:tc>
          <w:tcPr>
            <w:tcW w:w="7740" w:type="dxa"/>
          </w:tcPr>
          <w:p w:rsidR="00E5525D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552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E5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In General. </w:t>
            </w:r>
          </w:p>
          <w:p w:rsidR="00E5525D" w:rsidRDefault="00E5525D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37F86" w:rsidRPr="00E5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(1) </w:t>
            </w:r>
            <w:r w:rsidR="00B37F86" w:rsidRPr="00E552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Number</w:t>
            </w:r>
            <w:r w:rsidR="00B37F86" w:rsidRPr="00E55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Unless otherwise stipulated or ordered by the court, a party </w:t>
            </w:r>
          </w:p>
          <w:p w:rsidR="00E5525D" w:rsidRDefault="00E5525D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may serve on another party no more than </w:t>
            </w:r>
            <w:r w:rsidR="00B37F86" w:rsidRPr="00E16FB4">
              <w:rPr>
                <w:rFonts w:ascii="Times New Roman" w:hAnsi="Times New Roman" w:cs="Times New Roman"/>
                <w:strike/>
                <w:sz w:val="24"/>
                <w:szCs w:val="24"/>
              </w:rPr>
              <w:t>25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F86" w:rsidRPr="00E16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interrogatories, including </w:t>
            </w:r>
          </w:p>
          <w:p w:rsidR="00C347C3" w:rsidRDefault="00E5525D" w:rsidP="00C34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discrete subparts</w:t>
            </w:r>
            <w:r w:rsidR="00B37F86" w:rsidRPr="00C3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7C3" w:rsidRPr="00C347C3">
              <w:rPr>
                <w:rFonts w:ascii="Times New Roman" w:hAnsi="Times New Roman" w:cs="Times New Roman"/>
                <w:sz w:val="24"/>
                <w:szCs w:val="24"/>
              </w:rPr>
              <w:t xml:space="preserve"> Leave to serve additional interrogatories may be </w:t>
            </w:r>
            <w:r w:rsidR="00C34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559F" w:rsidRPr="00C347C3" w:rsidRDefault="00C347C3" w:rsidP="00C347C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347C3">
              <w:rPr>
                <w:rFonts w:ascii="Times New Roman" w:hAnsi="Times New Roman" w:cs="Times New Roman"/>
                <w:sz w:val="24"/>
                <w:szCs w:val="24"/>
              </w:rPr>
              <w:t>granted</w:t>
            </w:r>
            <w:proofErr w:type="gramEnd"/>
            <w:r w:rsidRPr="00C347C3">
              <w:rPr>
                <w:rFonts w:ascii="Times New Roman" w:hAnsi="Times New Roman" w:cs="Times New Roman"/>
                <w:sz w:val="24"/>
                <w:szCs w:val="24"/>
              </w:rPr>
              <w:t xml:space="preserve"> to the extent consistent with Rule 26(b)</w:t>
            </w:r>
            <w:r w:rsidRPr="00C34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(1) and</w:t>
            </w:r>
            <w:r w:rsidRPr="00C347C3">
              <w:rPr>
                <w:rFonts w:ascii="Times New Roman" w:hAnsi="Times New Roman" w:cs="Times New Roman"/>
                <w:sz w:val="24"/>
                <w:szCs w:val="24"/>
              </w:rPr>
              <w:t xml:space="preserve"> (2).</w:t>
            </w:r>
          </w:p>
        </w:tc>
        <w:tc>
          <w:tcPr>
            <w:tcW w:w="3510" w:type="dxa"/>
          </w:tcPr>
          <w:p w:rsidR="00C0559F" w:rsidRPr="0031306F" w:rsidRDefault="00E16FB4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Rule change reduces the number of interrogatories from 25 to 15. </w:t>
            </w:r>
          </w:p>
        </w:tc>
      </w:tr>
      <w:tr w:rsidR="00C0559F" w:rsidRPr="0031306F" w:rsidTr="00C0559F">
        <w:tc>
          <w:tcPr>
            <w:tcW w:w="1998" w:type="dxa"/>
          </w:tcPr>
          <w:p w:rsidR="00B37F86" w:rsidRPr="0034120E" w:rsidRDefault="00B37F86" w:rsidP="00B37F86">
            <w:pPr>
              <w:pStyle w:val="CM6"/>
              <w:jc w:val="both"/>
              <w:rPr>
                <w:rFonts w:ascii="Times New Roman" w:hAnsi="Times New Roman" w:cs="Times New Roman"/>
                <w:b/>
              </w:rPr>
            </w:pPr>
            <w:r w:rsidRPr="0034120E">
              <w:rPr>
                <w:rFonts w:ascii="Times New Roman" w:hAnsi="Times New Roman" w:cs="Times New Roman"/>
                <w:b/>
              </w:rPr>
              <w:t xml:space="preserve">Rule 36: </w:t>
            </w:r>
          </w:p>
          <w:p w:rsidR="00B37F86" w:rsidRPr="0031306F" w:rsidRDefault="00B37F86" w:rsidP="00B37F86">
            <w:pPr>
              <w:pStyle w:val="CM6"/>
              <w:rPr>
                <w:rFonts w:ascii="Times New Roman" w:hAnsi="Times New Roman" w:cs="Times New Roman"/>
              </w:rPr>
            </w:pPr>
            <w:r w:rsidRPr="0031306F">
              <w:rPr>
                <w:rFonts w:ascii="Times New Roman" w:hAnsi="Times New Roman" w:cs="Times New Roman"/>
              </w:rPr>
              <w:t xml:space="preserve">Requests for Admissions </w:t>
            </w:r>
          </w:p>
          <w:p w:rsidR="00C0559F" w:rsidRPr="0031306F" w:rsidRDefault="00C0559F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</w:tcPr>
          <w:p w:rsidR="00B37F86" w:rsidRPr="00B4425A" w:rsidRDefault="00B37F86" w:rsidP="008A74AE">
            <w:pPr>
              <w:pStyle w:val="CM23"/>
              <w:spacing w:after="0"/>
              <w:rPr>
                <w:rFonts w:ascii="Times New Roman" w:hAnsi="Times New Roman" w:cs="Times New Roman"/>
                <w:b/>
              </w:rPr>
            </w:pPr>
            <w:r w:rsidRPr="00B4425A">
              <w:rPr>
                <w:rFonts w:ascii="Times New Roman" w:hAnsi="Times New Roman" w:cs="Times New Roman"/>
                <w:b/>
              </w:rPr>
              <w:t xml:space="preserve">(a) Scope and Procedure. </w:t>
            </w:r>
          </w:p>
          <w:p w:rsidR="00126C66" w:rsidRDefault="00126C66" w:rsidP="00126C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4425A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B37F86" w:rsidRPr="00B4425A">
              <w:rPr>
                <w:rFonts w:ascii="Times New Roman" w:hAnsi="Times New Roman" w:cs="Times New Roman"/>
                <w:b/>
                <w:color w:val="auto"/>
              </w:rPr>
              <w:t xml:space="preserve">(1) </w:t>
            </w:r>
            <w:r w:rsidR="00B37F86" w:rsidRPr="00B4425A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Scope.</w:t>
            </w:r>
            <w:r w:rsidR="00B37F86" w:rsidRPr="0031306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B37F86" w:rsidRPr="0031306F">
              <w:rPr>
                <w:rFonts w:ascii="Times New Roman" w:hAnsi="Times New Roman" w:cs="Times New Roman"/>
                <w:color w:val="auto"/>
              </w:rPr>
              <w:t xml:space="preserve">A party may serve on any other party a written request to admit, </w:t>
            </w:r>
          </w:p>
          <w:p w:rsidR="00126C66" w:rsidRDefault="00126C66" w:rsidP="00126C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B37F86" w:rsidRPr="0031306F">
              <w:rPr>
                <w:rFonts w:ascii="Times New Roman" w:hAnsi="Times New Roman" w:cs="Times New Roman"/>
                <w:color w:val="auto"/>
              </w:rPr>
              <w:t xml:space="preserve">for purposes of the pending action only, the truth of any matters within the </w:t>
            </w: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B37F86" w:rsidRPr="0031306F" w:rsidRDefault="00126C66" w:rsidP="00126C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B37F86" w:rsidRPr="0031306F">
              <w:rPr>
                <w:rFonts w:ascii="Times New Roman" w:hAnsi="Times New Roman" w:cs="Times New Roman"/>
                <w:color w:val="auto"/>
              </w:rPr>
              <w:t xml:space="preserve">scope of Rule 26(b)(1) relating to: </w:t>
            </w:r>
          </w:p>
          <w:p w:rsidR="00B37F86" w:rsidRPr="0031306F" w:rsidRDefault="00B37F86" w:rsidP="00B37F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31306F">
              <w:rPr>
                <w:rFonts w:ascii="Times New Roman" w:hAnsi="Times New Roman" w:cs="Times New Roman"/>
                <w:color w:val="auto"/>
              </w:rPr>
              <w:t xml:space="preserve">(A) facts, the application of law to fact, or opinions about either; and </w:t>
            </w:r>
          </w:p>
          <w:p w:rsidR="00B37F86" w:rsidRPr="0031306F" w:rsidRDefault="00B37F86" w:rsidP="00B37F8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31306F">
              <w:rPr>
                <w:rFonts w:ascii="Times New Roman" w:hAnsi="Times New Roman" w:cs="Times New Roman"/>
                <w:color w:val="auto"/>
              </w:rPr>
              <w:lastRenderedPageBreak/>
              <w:t xml:space="preserve">(B) </w:t>
            </w:r>
            <w:proofErr w:type="gramStart"/>
            <w:r w:rsidRPr="0031306F">
              <w:rPr>
                <w:rFonts w:ascii="Times New Roman" w:hAnsi="Times New Roman" w:cs="Times New Roman"/>
                <w:color w:val="auto"/>
              </w:rPr>
              <w:t>the</w:t>
            </w:r>
            <w:proofErr w:type="gramEnd"/>
            <w:r w:rsidRPr="0031306F">
              <w:rPr>
                <w:rFonts w:ascii="Times New Roman" w:hAnsi="Times New Roman" w:cs="Times New Roman"/>
                <w:color w:val="auto"/>
              </w:rPr>
              <w:t xml:space="preserve"> genuineness of any described document.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37F86" w:rsidRPr="00D67A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(2) </w:t>
            </w:r>
            <w:r w:rsidR="00B37F86" w:rsidRPr="00D67A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Number.</w:t>
            </w:r>
            <w:r w:rsidR="00B37F86" w:rsidRPr="0031306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Unless otherwise stipulated or ordered by the court, a party </w:t>
            </w:r>
          </w:p>
          <w:p w:rsidR="00126C66" w:rsidRDefault="00126C66" w:rsidP="00B37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C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may serve no more than 25 requests to admit under Rule 36(a)(1)(A) on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620B46" w:rsidRDefault="00126C66" w:rsidP="0062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C6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B37F86" w:rsidRPr="0031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any</w:t>
            </w:r>
            <w:proofErr w:type="gramEnd"/>
            <w:r w:rsidR="00B37F86" w:rsidRPr="0031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other party, including all discrete subparts</w:t>
            </w:r>
            <w:r w:rsidR="00B37F86" w:rsidRPr="00620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620B46" w:rsidRPr="00620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court may grant leave </w:t>
            </w:r>
          </w:p>
          <w:p w:rsidR="00ED1B8E" w:rsidRDefault="00620B46" w:rsidP="0062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B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 serve additional requests to the extent consistent with Rule 26(b)(1) </w:t>
            </w:r>
            <w:r w:rsidR="00ED1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C0559F" w:rsidRPr="00ED1B8E" w:rsidRDefault="00ED1B8E" w:rsidP="00620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B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620B46" w:rsidRPr="00620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0B46" w:rsidRPr="00620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(2).</w:t>
            </w:r>
            <w:r w:rsidR="00B37F86" w:rsidRPr="00620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 * *</w:t>
            </w:r>
          </w:p>
        </w:tc>
        <w:tc>
          <w:tcPr>
            <w:tcW w:w="3510" w:type="dxa"/>
          </w:tcPr>
          <w:p w:rsidR="00C0559F" w:rsidRPr="0031306F" w:rsidRDefault="00126C6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The Rule sets a limit on the number of Requests for Admission.</w:t>
            </w:r>
          </w:p>
        </w:tc>
      </w:tr>
      <w:tr w:rsidR="00C0559F" w:rsidRPr="0031306F" w:rsidTr="00C0559F">
        <w:tc>
          <w:tcPr>
            <w:tcW w:w="1998" w:type="dxa"/>
          </w:tcPr>
          <w:p w:rsidR="0034120E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Rule 4: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59F" w:rsidRPr="0031306F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>Time Limit for Service</w:t>
            </w:r>
          </w:p>
        </w:tc>
        <w:tc>
          <w:tcPr>
            <w:tcW w:w="7740" w:type="dxa"/>
          </w:tcPr>
          <w:p w:rsidR="00C0559F" w:rsidRPr="0031306F" w:rsidRDefault="00B37F86" w:rsidP="00C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4AE">
              <w:rPr>
                <w:rFonts w:ascii="Times New Roman" w:hAnsi="Times New Roman" w:cs="Times New Roman"/>
                <w:b/>
                <w:sz w:val="24"/>
                <w:szCs w:val="24"/>
              </w:rPr>
              <w:t>(m) Time Limit for Service.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If a defendant is not served within </w:t>
            </w:r>
            <w:r w:rsidRPr="008A74AE">
              <w:rPr>
                <w:rFonts w:ascii="Times New Roman" w:hAnsi="Times New Roman" w:cs="Times New Roman"/>
                <w:strike/>
                <w:sz w:val="24"/>
                <w:szCs w:val="24"/>
              </w:rPr>
              <w:t>120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days after the complaint is filed, the court * * * must dismiss the action without prejudice against that defendant or order that service be made within a specified time. But if the plaintiff shows good cause * * *</w:t>
            </w:r>
          </w:p>
        </w:tc>
        <w:tc>
          <w:tcPr>
            <w:tcW w:w="3510" w:type="dxa"/>
          </w:tcPr>
          <w:p w:rsidR="00C0559F" w:rsidRPr="0031306F" w:rsidRDefault="008A74AE" w:rsidP="008A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Rule change s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>hortens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B37F86" w:rsidRPr="0031306F">
              <w:rPr>
                <w:rFonts w:ascii="Times New Roman" w:hAnsi="Times New Roman" w:cs="Times New Roman"/>
                <w:sz w:val="24"/>
                <w:szCs w:val="24"/>
              </w:rPr>
              <w:t xml:space="preserve"> time for service from 120 to 60 days.</w:t>
            </w:r>
          </w:p>
        </w:tc>
      </w:tr>
    </w:tbl>
    <w:p w:rsidR="00C0559F" w:rsidRPr="0031306F" w:rsidRDefault="00C0559F" w:rsidP="00C0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59F" w:rsidRPr="0031306F" w:rsidRDefault="00C0559F" w:rsidP="00C0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559F" w:rsidRPr="0031306F" w:rsidRDefault="00C0559F" w:rsidP="00C0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7180" w:rsidRPr="0031306F" w:rsidRDefault="00C0559F" w:rsidP="00C0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0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559F" w:rsidRPr="0031306F" w:rsidRDefault="00C0559F">
      <w:pPr>
        <w:rPr>
          <w:rFonts w:ascii="Times New Roman" w:hAnsi="Times New Roman" w:cs="Times New Roman"/>
          <w:sz w:val="24"/>
          <w:szCs w:val="24"/>
        </w:rPr>
      </w:pPr>
    </w:p>
    <w:sectPr w:rsidR="00C0559F" w:rsidRPr="0031306F" w:rsidSect="00C05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57F061"/>
    <w:multiLevelType w:val="hybridMultilevel"/>
    <w:tmpl w:val="CDD59E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41E3AC2"/>
    <w:multiLevelType w:val="hybridMultilevel"/>
    <w:tmpl w:val="3D7391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59F"/>
    <w:rsid w:val="00016A8B"/>
    <w:rsid w:val="001065FB"/>
    <w:rsid w:val="00126C66"/>
    <w:rsid w:val="001B7F59"/>
    <w:rsid w:val="001D16C4"/>
    <w:rsid w:val="001F0DAD"/>
    <w:rsid w:val="002013E6"/>
    <w:rsid w:val="0031306F"/>
    <w:rsid w:val="0034120E"/>
    <w:rsid w:val="003671A8"/>
    <w:rsid w:val="004C7D94"/>
    <w:rsid w:val="00612D6F"/>
    <w:rsid w:val="00620B46"/>
    <w:rsid w:val="00630F2B"/>
    <w:rsid w:val="00797EB8"/>
    <w:rsid w:val="008A7180"/>
    <w:rsid w:val="008A74AE"/>
    <w:rsid w:val="008C0A49"/>
    <w:rsid w:val="008C4885"/>
    <w:rsid w:val="00A30E7B"/>
    <w:rsid w:val="00AD15E0"/>
    <w:rsid w:val="00B37F86"/>
    <w:rsid w:val="00B4425A"/>
    <w:rsid w:val="00C0559F"/>
    <w:rsid w:val="00C2494E"/>
    <w:rsid w:val="00C347C3"/>
    <w:rsid w:val="00CE6A37"/>
    <w:rsid w:val="00D266BB"/>
    <w:rsid w:val="00D45E37"/>
    <w:rsid w:val="00D67A90"/>
    <w:rsid w:val="00E16FB4"/>
    <w:rsid w:val="00E5525D"/>
    <w:rsid w:val="00EC6A1A"/>
    <w:rsid w:val="00ED1B8E"/>
    <w:rsid w:val="00F16852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">
    <w:name w:val="CM6"/>
    <w:basedOn w:val="Normal"/>
    <w:next w:val="Normal"/>
    <w:uiPriority w:val="99"/>
    <w:rsid w:val="00B37F86"/>
    <w:pPr>
      <w:widowControl w:val="0"/>
      <w:autoSpaceDE w:val="0"/>
      <w:autoSpaceDN w:val="0"/>
      <w:adjustRightInd w:val="0"/>
      <w:spacing w:after="0" w:line="231" w:lineRule="atLeast"/>
    </w:pPr>
    <w:rPr>
      <w:rFonts w:ascii="Helvetica" w:eastAsiaTheme="minorEastAsia" w:hAnsi="Helvetica"/>
      <w:sz w:val="24"/>
      <w:szCs w:val="24"/>
    </w:rPr>
  </w:style>
  <w:style w:type="paragraph" w:customStyle="1" w:styleId="Default">
    <w:name w:val="Default"/>
    <w:rsid w:val="00B37F8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B37F86"/>
    <w:pPr>
      <w:spacing w:after="98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E1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stei_e01</dc:creator>
  <cp:lastModifiedBy>stei_e01</cp:lastModifiedBy>
  <cp:revision>28</cp:revision>
  <cp:lastPrinted>2013-03-19T21:04:00Z</cp:lastPrinted>
  <dcterms:created xsi:type="dcterms:W3CDTF">2013-03-19T19:18:00Z</dcterms:created>
  <dcterms:modified xsi:type="dcterms:W3CDTF">2013-03-27T19:26:00Z</dcterms:modified>
</cp:coreProperties>
</file>